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Минфин России рассмотрел вопрос об объектах адресации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частности, отмечается, что адрес является неотъемлемой характеристикой именно объекта капитального строительства, позволяющей однозначно идентифицировать его местонахождение в силу того, что такой объект имеет прочную, неразрывную связь с землей и не может быть перемещен или изменен без несоразмерного ущерба назначению и (или) характеристикам.</w:t>
      </w:r>
      <w:r>
        <w:rPr>
          <w:rFonts w:ascii="Times New Roman" w:hAnsi="Times New Roman"/>
          <w:sz w:val="28"/>
        </w:rPr>
        <w:t xml:space="preserve"> 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Федеральный закон "О государственной регистрации недвижимости" предусматривает разделение объектов недвижимости на объекты недвижимости, являющиеся объектами адресации, и на объекты недвижимости, не являющиеся объектами адресации.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Кроме того, линейные объекты (линии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сооружения) положениями нормативных правовых актов не отнесены к объектам адресации.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2026-08-13T07:37:44Z</dcterms:modified>
</cp:coreProperties>
</file>